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</w:pP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" w:hanging="145"/>
        <w:textAlignment w:val="auto"/>
      </w:pPr>
      <w:r>
        <w:t>SB25-12DTD功率可调加热型超声波清洗机</w:t>
      </w:r>
    </w:p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</w:pPr>
      <w:r>
        <w:rPr>
          <w:rFonts w:hint="eastAsia"/>
        </w:rPr>
        <w:t>产品说明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b/>
          <w:bCs/>
        </w:rPr>
      </w:pPr>
      <w:r>
        <w:t>DTD系列功率可调加热型超声波清洗机主要用于常规清洗、萃取、乳化、混匀、脱气、分散等领域，其优点是大液晶屏幕显示，室温-80℃的温度设定范围，具有断电工作参数记忆等功能。广泛应用于验室 、机电行业、珠宝首饰 、医疗牙科 、光学等领域。</w:t>
      </w:r>
    </w:p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</w:pPr>
      <w:r>
        <w:rPr>
          <w:rFonts w:hint="eastAsia"/>
        </w:rPr>
        <w:t>性能特点</w:t>
      </w:r>
    </w:p>
    <w:p>
      <w:pPr>
        <w:pStyle w:val="14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大屏幕液晶显示器</w:t>
      </w:r>
    </w:p>
    <w:p>
      <w:pPr>
        <w:pStyle w:val="14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显示器上菜单参数选择</w:t>
      </w:r>
    </w:p>
    <w:p>
      <w:pPr>
        <w:pStyle w:val="14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功率40%－100%可调</w:t>
      </w:r>
    </w:p>
    <w:p>
      <w:pPr>
        <w:pStyle w:val="14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数显设定超声清洗时间</w:t>
      </w:r>
    </w:p>
    <w:p>
      <w:pPr>
        <w:pStyle w:val="14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仪器的操作程序采用单片机软件</w:t>
      </w:r>
    </w:p>
    <w:p>
      <w:pPr>
        <w:pStyle w:val="14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工作时间倒计时显示</w:t>
      </w:r>
    </w:p>
    <w:p>
      <w:pPr>
        <w:pStyle w:val="14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室温-80℃的温度设定范围</w:t>
      </w:r>
    </w:p>
    <w:p>
      <w:pPr>
        <w:pStyle w:val="14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1-999min总工作时间设定</w:t>
      </w:r>
    </w:p>
    <w:p>
      <w:pPr>
        <w:pStyle w:val="14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配有专用不锈钢网篮、降音盖</w:t>
      </w:r>
    </w:p>
    <w:p>
      <w:pPr>
        <w:pStyle w:val="14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 xml:space="preserve">仪器的内外壳体和降音盖采用优质不锈钢 </w:t>
      </w:r>
    </w:p>
    <w:p>
      <w:pPr>
        <w:pStyle w:val="14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 xml:space="preserve">实时显示清洗槽内实际温度 </w:t>
      </w:r>
    </w:p>
    <w:p>
      <w:pPr>
        <w:pStyle w:val="14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工作参数断电记忆功能</w:t>
      </w:r>
    </w:p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/>
        <w:textAlignment w:val="auto"/>
      </w:pPr>
      <w:r>
        <w:rPr>
          <w:rFonts w:hint="eastAsia"/>
        </w:rPr>
        <w:t>仪器参数</w:t>
      </w:r>
    </w:p>
    <w:p>
      <w:pPr>
        <w:pStyle w:val="14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型号:SB25-12DTD</w:t>
      </w:r>
    </w:p>
    <w:p>
      <w:pPr>
        <w:pStyle w:val="14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内槽长·宽·高: 500*300*150(mm)L/W/H</w:t>
      </w:r>
    </w:p>
    <w:p>
      <w:pPr>
        <w:pStyle w:val="14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容量: 22.5L</w:t>
      </w:r>
    </w:p>
    <w:p>
      <w:pPr>
        <w:pStyle w:val="14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频率: 40KHz</w:t>
      </w:r>
    </w:p>
    <w:p>
      <w:pPr>
        <w:pStyle w:val="14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rPr>
          <w:rFonts w:hint="eastAsia"/>
          <w:lang w:val="en-US" w:eastAsia="zh-CN"/>
        </w:rPr>
        <w:t>超声</w:t>
      </w:r>
      <w:bookmarkStart w:id="0" w:name="_GoBack"/>
      <w:bookmarkEnd w:id="0"/>
      <w:r>
        <w:t>功率: 600/720W</w:t>
      </w:r>
    </w:p>
    <w:p>
      <w:pPr>
        <w:pStyle w:val="14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功率可调: 40-100%</w:t>
      </w:r>
    </w:p>
    <w:p>
      <w:pPr>
        <w:pStyle w:val="14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加热功率: 800W</w:t>
      </w:r>
    </w:p>
    <w:p>
      <w:pPr>
        <w:pStyle w:val="14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温度可调: 室温-80℃</w:t>
      </w:r>
    </w:p>
    <w:p>
      <w:pPr>
        <w:pStyle w:val="14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时间可调: 1-999min</w:t>
      </w:r>
    </w:p>
    <w:p>
      <w:pPr>
        <w:pStyle w:val="14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网架: 有</w:t>
      </w:r>
    </w:p>
    <w:p>
      <w:pPr>
        <w:pStyle w:val="14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降音盖: 有</w:t>
      </w:r>
    </w:p>
    <w:p>
      <w:pPr>
        <w:pStyle w:val="14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</w:pPr>
      <w:r>
        <w:t>排 水: 有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</w:pPr>
      <w:r>
        <w:rPr>
          <w:rFonts w:hint="eastAsia"/>
        </w:rPr>
        <w:t>️</w:t>
      </w:r>
      <w:r>
        <w:rPr>
          <w:color w:val="00ACAC"/>
          <w:sz w:val="21"/>
          <w:szCs w:val="21"/>
        </w:rPr>
        <w:t>带加热功能的超声波清洗机，加热后温度比实际显示温度高2-8℃，如需恒温超声，可选购恒温</w:t>
      </w:r>
      <w:r>
        <w:rPr>
          <w:rFonts w:hint="eastAsia"/>
          <w:color w:val="00ACAC"/>
          <w:sz w:val="21"/>
          <w:szCs w:val="21"/>
        </w:rPr>
        <w:t>超声波</w:t>
      </w:r>
      <w:r>
        <w:rPr>
          <w:color w:val="00ACAC"/>
          <w:sz w:val="21"/>
          <w:szCs w:val="21"/>
        </w:rPr>
        <w:t>清洗机。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0" w:h="16840"/>
      <w:pgMar w:top="1440" w:right="1800" w:bottom="1440" w:left="1800" w:header="794" w:footer="1077" w:gutter="0"/>
      <w:cols w:space="425" w:num="1"/>
      <w:docGrid w:type="lines" w:linePitch="423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80"/>
      </w:pPr>
      <w:r>
        <w:separator/>
      </w:r>
    </w:p>
  </w:endnote>
  <w:endnote w:type="continuationSeparator" w:id="1">
    <w:p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ongti SC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361"/>
      <w:jc w:val="right"/>
      <w:rPr>
        <w:sz w:val="18"/>
        <w:szCs w:val="18"/>
      </w:rPr>
    </w:pPr>
    <w:sdt>
      <w:sdtPr>
        <w:rPr>
          <w:b/>
          <w:bCs/>
          <w:color w:val="00AAAB"/>
          <w:sz w:val="18"/>
          <w:szCs w:val="18"/>
        </w:rPr>
        <w:alias w:val="作者"/>
        <w:id w:val="-1313864547"/>
        <w15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>
        <w:rPr>
          <w:b/>
          <w:bCs/>
          <w:color w:val="00AAAB"/>
          <w:sz w:val="18"/>
          <w:szCs w:val="18"/>
        </w:rPr>
      </w:sdtEndPr>
      <w:sdtContent>
        <w:r>
          <w:rPr>
            <w:rFonts w:hint="eastAsia"/>
            <w:b/>
            <w:bCs/>
            <w:color w:val="00AAAB"/>
            <w:sz w:val="18"/>
            <w:szCs w:val="18"/>
          </w:rPr>
          <w:t>宁波新芝生物科技股份有限公司</w:t>
        </w:r>
      </w:sdtContent>
    </w:sdt>
  </w:p>
  <w:p>
    <w:pPr>
      <w:wordWrap w:val="0"/>
      <w:ind w:firstLine="240"/>
      <w:jc w:val="right"/>
      <w:rPr>
        <w:color w:val="404040" w:themeColor="text1" w:themeTint="BF"/>
        <w:sz w:val="12"/>
        <w:szCs w:val="12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</w:pPr>
    <w:r>
      <w:rPr>
        <w:rFonts w:hint="eastAsia"/>
        <w:color w:val="404040" w:themeColor="text1" w:themeTint="BF"/>
        <w:sz w:val="12"/>
        <w:szCs w:val="12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NINGBO</w:t>
    </w:r>
    <w:r>
      <w:rPr>
        <w:color w:val="404040" w:themeColor="text1" w:themeTint="BF"/>
        <w:sz w:val="12"/>
        <w:szCs w:val="12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 xml:space="preserve"> </w:t>
    </w:r>
    <w:r>
      <w:rPr>
        <w:rFonts w:hint="eastAsia"/>
        <w:color w:val="404040" w:themeColor="text1" w:themeTint="BF"/>
        <w:sz w:val="12"/>
        <w:szCs w:val="12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SCIENTZ</w:t>
    </w:r>
    <w:r>
      <w:rPr>
        <w:color w:val="404040" w:themeColor="text1" w:themeTint="BF"/>
        <w:sz w:val="12"/>
        <w:szCs w:val="12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 xml:space="preserve"> </w:t>
    </w:r>
    <w:r>
      <w:rPr>
        <w:rFonts w:hint="eastAsia"/>
        <w:color w:val="404040" w:themeColor="text1" w:themeTint="BF"/>
        <w:sz w:val="12"/>
        <w:szCs w:val="12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BIOTECHNOLOGY</w:t>
    </w:r>
    <w:r>
      <w:rPr>
        <w:color w:val="404040" w:themeColor="text1" w:themeTint="BF"/>
        <w:sz w:val="12"/>
        <w:szCs w:val="12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 xml:space="preserve"> </w:t>
    </w:r>
    <w:r>
      <w:rPr>
        <w:rFonts w:hint="eastAsia"/>
        <w:color w:val="404040" w:themeColor="text1" w:themeTint="BF"/>
        <w:sz w:val="12"/>
        <w:szCs w:val="12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CO</w:t>
    </w:r>
    <w:r>
      <w:rPr>
        <w:color w:val="404040" w:themeColor="text1" w:themeTint="BF"/>
        <w:sz w:val="12"/>
        <w:szCs w:val="12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., LTD</w:t>
    </w:r>
  </w:p>
  <w:p>
    <w:pPr>
      <w:ind w:firstLine="280"/>
      <w:jc w:val="right"/>
      <w:rPr>
        <w:color w:val="404040" w:themeColor="text1" w:themeTint="BF"/>
        <w:sz w:val="14"/>
        <w:szCs w:val="14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</w:pPr>
    <w:r>
      <w:rPr>
        <w:rFonts w:hint="eastAsia"/>
        <w:color w:val="404040" w:themeColor="text1" w:themeTint="BF"/>
        <w:sz w:val="14"/>
        <w:szCs w:val="14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商务服务热线</w:t>
    </w:r>
    <w:r>
      <w:rPr>
        <w:rFonts w:hint="eastAsia"/>
        <w:sz w:val="14"/>
        <w:szCs w:val="14"/>
      </w:rPr>
      <w:t xml:space="preserve"> </w:t>
    </w:r>
    <w:r>
      <w:rPr>
        <w:color w:val="404040" w:themeColor="text1" w:themeTint="BF"/>
        <w:sz w:val="14"/>
        <w:szCs w:val="14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0574-87134807</w:t>
    </w:r>
  </w:p>
  <w:p>
    <w:pPr>
      <w:ind w:firstLine="280"/>
      <w:jc w:val="right"/>
      <w:rPr>
        <w:color w:val="404040" w:themeColor="text1" w:themeTint="BF"/>
        <w:sz w:val="14"/>
        <w:szCs w:val="14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</w:pPr>
    <w:r>
      <w:rPr>
        <w:color w:val="404040" w:themeColor="text1" w:themeTint="BF"/>
        <w:sz w:val="14"/>
        <w:szCs w:val="14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87133995</w:t>
    </w:r>
    <w:r>
      <w:rPr>
        <w:rFonts w:hint="eastAsia"/>
        <w:color w:val="404040" w:themeColor="text1" w:themeTint="BF"/>
        <w:sz w:val="14"/>
        <w:szCs w:val="14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、</w:t>
    </w:r>
    <w:r>
      <w:rPr>
        <w:color w:val="404040" w:themeColor="text1" w:themeTint="BF"/>
        <w:sz w:val="14"/>
        <w:szCs w:val="14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56202593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80"/>
      </w:pPr>
      <w:r>
        <w:separator/>
      </w:r>
    </w:p>
  </w:footnote>
  <w:footnote w:type="continuationSeparator" w:id="1">
    <w:p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80"/>
      <w:jc w:val="right"/>
      <w:rPr>
        <w:color w:val="404040" w:themeColor="text1" w:themeTint="BF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</w:pPr>
    <w:r>
      <w:rPr>
        <w:color w:val="44546A" w:themeColor="text2"/>
        <w14:textFill>
          <w14:solidFill>
            <w14:schemeClr w14:val="tx2"/>
          </w14:solidFill>
        </w14:textFill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-48895</wp:posOffset>
          </wp:positionH>
          <wp:positionV relativeFrom="paragraph">
            <wp:posOffset>-57785</wp:posOffset>
          </wp:positionV>
          <wp:extent cx="687705" cy="532765"/>
          <wp:effectExtent l="0" t="0" r="0" b="635"/>
          <wp:wrapNone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7600" cy="532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44546A" w:themeColor="text2"/>
        <w14:textFill>
          <w14:solidFill>
            <w14:schemeClr w14:val="tx2"/>
          </w14:solidFill>
        </w14:textFill>
      </w:rPr>
      <w:ptab w:relativeTo="margin" w:alignment="center" w:leader="none"/>
    </w:r>
    <w:r>
      <w:rPr>
        <w:rFonts w:hint="eastAsia"/>
        <w:b/>
        <w:bCs/>
        <w:color w:val="00ACAC"/>
        <w:sz w:val="28"/>
        <w:szCs w:val="28"/>
      </w:rPr>
      <w:t>4</w:t>
    </w:r>
    <w:r>
      <w:rPr>
        <w:b/>
        <w:bCs/>
        <w:color w:val="00ACAC"/>
        <w:sz w:val="28"/>
        <w:szCs w:val="28"/>
      </w:rPr>
      <w:t>008-122-088</w:t>
    </w:r>
  </w:p>
  <w:p>
    <w:pPr>
      <w:ind w:firstLine="320"/>
      <w:jc w:val="right"/>
      <w:rPr>
        <w:color w:val="404040" w:themeColor="text1" w:themeTint="BF"/>
        <w:sz w:val="16"/>
        <w:szCs w:val="16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</w:pPr>
    <w:r>
      <w:rPr>
        <w:rFonts w:hint="eastAsia"/>
        <w:color w:val="404040" w:themeColor="text1" w:themeTint="BF"/>
        <w:sz w:val="16"/>
        <w:szCs w:val="16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宁波市高新区木槿路6</w:t>
    </w:r>
    <w:r>
      <w:rPr>
        <w:color w:val="404040" w:themeColor="text1" w:themeTint="BF"/>
        <w:sz w:val="16"/>
        <w:szCs w:val="16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5</w:t>
    </w:r>
    <w:r>
      <w:rPr>
        <w:rFonts w:hint="eastAsia"/>
        <w:color w:val="404040" w:themeColor="text1" w:themeTint="BF"/>
        <w:sz w:val="16"/>
        <w:szCs w:val="16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号</w:t>
    </w:r>
  </w:p>
  <w:p>
    <w:pPr>
      <w:ind w:right="80" w:firstLine="360"/>
      <w:jc w:val="right"/>
      <w:rPr>
        <w:color w:val="404040" w:themeColor="text1" w:themeTint="BF"/>
        <w:sz w:val="18"/>
        <w:szCs w:val="18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</w:pPr>
    <w:r>
      <w:rPr>
        <w:color w:val="404040" w:themeColor="text1" w:themeTint="BF"/>
        <w:sz w:val="18"/>
        <w:szCs w:val="18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 xml:space="preserve"> web:www.scientz.com </w:t>
    </w:r>
  </w:p>
  <w:p>
    <w:pPr>
      <w:wordWrap w:val="0"/>
      <w:ind w:right="560" w:firstLine="320"/>
      <w:jc w:val="right"/>
      <w:rPr>
        <w:color w:val="404040" w:themeColor="text1" w:themeTint="BF"/>
        <w:sz w:val="16"/>
        <w:szCs w:val="16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</w:pPr>
    <w:r>
      <w:rPr>
        <w:color w:val="404040" w:themeColor="text1" w:themeTint="BF"/>
        <w:sz w:val="16"/>
        <w:szCs w:val="16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 xml:space="preserve">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D35C7C"/>
    <w:multiLevelType w:val="multilevel"/>
    <w:tmpl w:val="51D35C7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C4C0F3B"/>
    <w:multiLevelType w:val="multilevel"/>
    <w:tmpl w:val="5C4C0F3B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HorizontalSpacing w:val="120"/>
  <w:drawingGridVerticalSpacing w:val="423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2CC"/>
    <w:rsid w:val="000809B2"/>
    <w:rsid w:val="000A5A81"/>
    <w:rsid w:val="000C3817"/>
    <w:rsid w:val="00105B8E"/>
    <w:rsid w:val="00155AD1"/>
    <w:rsid w:val="00220E5D"/>
    <w:rsid w:val="00291DD0"/>
    <w:rsid w:val="002A3E7A"/>
    <w:rsid w:val="002A693A"/>
    <w:rsid w:val="002C0B14"/>
    <w:rsid w:val="002F6E2D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C3B0D"/>
    <w:rsid w:val="006D579F"/>
    <w:rsid w:val="006E55D6"/>
    <w:rsid w:val="006F499C"/>
    <w:rsid w:val="007063F9"/>
    <w:rsid w:val="00714932"/>
    <w:rsid w:val="00742A15"/>
    <w:rsid w:val="007F0FF1"/>
    <w:rsid w:val="00806E42"/>
    <w:rsid w:val="00812BD5"/>
    <w:rsid w:val="0083486F"/>
    <w:rsid w:val="008F37E2"/>
    <w:rsid w:val="00942607"/>
    <w:rsid w:val="009676FC"/>
    <w:rsid w:val="00976954"/>
    <w:rsid w:val="00983232"/>
    <w:rsid w:val="00994D5F"/>
    <w:rsid w:val="009B302F"/>
    <w:rsid w:val="00A3625A"/>
    <w:rsid w:val="00A6597C"/>
    <w:rsid w:val="00A67336"/>
    <w:rsid w:val="00B066DE"/>
    <w:rsid w:val="00B06F56"/>
    <w:rsid w:val="00B0785C"/>
    <w:rsid w:val="00B94A04"/>
    <w:rsid w:val="00BB0B03"/>
    <w:rsid w:val="00C06D58"/>
    <w:rsid w:val="00C16B8E"/>
    <w:rsid w:val="00C35E40"/>
    <w:rsid w:val="00CD3AA6"/>
    <w:rsid w:val="00CF1A11"/>
    <w:rsid w:val="00D259E5"/>
    <w:rsid w:val="00D331E3"/>
    <w:rsid w:val="00D4363E"/>
    <w:rsid w:val="00D611F0"/>
    <w:rsid w:val="00DA1AEC"/>
    <w:rsid w:val="00E271AA"/>
    <w:rsid w:val="00E85D89"/>
    <w:rsid w:val="00F27948"/>
    <w:rsid w:val="00F75D39"/>
    <w:rsid w:val="00F836FD"/>
    <w:rsid w:val="00FA12CC"/>
    <w:rsid w:val="00FB14BA"/>
    <w:rsid w:val="16B42535"/>
    <w:rsid w:val="24EA5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7060B5-CC6F-EB4D-831D-04E229095A91}">
  <ds:schemaRefs/>
</ds:datastoreItem>
</file>